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724BE" w:rsidRDefault="0012422A">
      <w:pPr>
        <w:spacing w:after="288"/>
        <w:jc w:val="center"/>
        <w:rPr>
          <w:rFonts w:ascii="Garamond" w:eastAsia="Garamond" w:hAnsi="Garamond" w:cs="Garamond"/>
          <w:sz w:val="21"/>
          <w:szCs w:val="21"/>
        </w:rPr>
      </w:pPr>
      <w:r>
        <w:rPr>
          <w:rFonts w:ascii="Garamond" w:eastAsia="Garamond" w:hAnsi="Garamond" w:cs="Garamond"/>
          <w:sz w:val="21"/>
          <w:szCs w:val="21"/>
        </w:rPr>
        <w:t>This prize is offered in partnership by the Australasian Association of Writing Programs (AAWP) and Australian Short Story Festival (ASSF)</w:t>
      </w:r>
    </w:p>
    <w:p w14:paraId="00000002" w14:textId="77777777" w:rsidR="00C724BE" w:rsidRDefault="0012422A">
      <w:pPr>
        <w:spacing w:after="120"/>
        <w:jc w:val="center"/>
        <w:rPr>
          <w:rFonts w:ascii="Garamond" w:eastAsia="Garamond" w:hAnsi="Garamond" w:cs="Garamond"/>
          <w:b/>
          <w:sz w:val="21"/>
          <w:szCs w:val="21"/>
        </w:rPr>
      </w:pPr>
      <w:r>
        <w:rPr>
          <w:rFonts w:ascii="Garamond" w:eastAsia="Garamond" w:hAnsi="Garamond" w:cs="Garamond"/>
          <w:b/>
          <w:sz w:val="21"/>
          <w:szCs w:val="21"/>
        </w:rPr>
        <w:t>The Prize—</w:t>
      </w:r>
    </w:p>
    <w:p w14:paraId="00000003" w14:textId="77777777" w:rsidR="00C724BE" w:rsidRDefault="0012422A">
      <w:pPr>
        <w:spacing w:after="120"/>
        <w:jc w:val="center"/>
        <w:rPr>
          <w:rFonts w:ascii="Garamond" w:eastAsia="Garamond" w:hAnsi="Garamond" w:cs="Garamond"/>
          <w:b/>
          <w:sz w:val="21"/>
          <w:szCs w:val="21"/>
        </w:rPr>
      </w:pPr>
      <w:r>
        <w:rPr>
          <w:rFonts w:ascii="Garamond" w:eastAsia="Garamond" w:hAnsi="Garamond" w:cs="Garamond"/>
          <w:b/>
          <w:sz w:val="21"/>
          <w:szCs w:val="21"/>
        </w:rPr>
        <w:t>Publication Pathway and Networking Opportunity for Emerging Short Story Writers</w:t>
      </w:r>
    </w:p>
    <w:p w14:paraId="00000004" w14:textId="77777777" w:rsidR="00C724BE" w:rsidRDefault="0012422A">
      <w:pPr>
        <w:spacing w:after="120"/>
        <w:rPr>
          <w:rFonts w:ascii="Garamond" w:eastAsia="Garamond" w:hAnsi="Garamond" w:cs="Garamond"/>
          <w:i/>
          <w:sz w:val="21"/>
          <w:szCs w:val="21"/>
        </w:rPr>
      </w:pPr>
      <w:r>
        <w:rPr>
          <w:rFonts w:ascii="Garamond" w:eastAsia="Garamond" w:hAnsi="Garamond" w:cs="Garamond"/>
          <w:sz w:val="21"/>
          <w:szCs w:val="21"/>
        </w:rPr>
        <w:t xml:space="preserve">Enter your short story to </w:t>
      </w:r>
      <w:r>
        <w:rPr>
          <w:rFonts w:ascii="Garamond" w:eastAsia="Garamond" w:hAnsi="Garamond" w:cs="Garamond"/>
          <w:sz w:val="21"/>
          <w:szCs w:val="21"/>
        </w:rPr>
        <w:t xml:space="preserve">the ‘AAWP/ASSF Short Story Prize’ for your chance to win. </w:t>
      </w:r>
    </w:p>
    <w:p w14:paraId="00000005" w14:textId="7CDDFFEC" w:rsidR="00C724BE" w:rsidRDefault="0012422A">
      <w:pPr>
        <w:spacing w:after="120"/>
        <w:rPr>
          <w:rFonts w:ascii="Garamond" w:eastAsia="Garamond" w:hAnsi="Garamond" w:cs="Garamond"/>
          <w:sz w:val="21"/>
          <w:szCs w:val="21"/>
        </w:rPr>
      </w:pPr>
      <w:r>
        <w:rPr>
          <w:rFonts w:ascii="Garamond" w:eastAsia="Garamond" w:hAnsi="Garamond" w:cs="Garamond"/>
          <w:sz w:val="21"/>
          <w:szCs w:val="21"/>
        </w:rPr>
        <w:t xml:space="preserve">If you win you will receive—a ticket to the Australian Short Story Festival (ASSF) </w:t>
      </w:r>
      <w:r w:rsidR="00FD1215">
        <w:rPr>
          <w:rFonts w:ascii="Garamond" w:eastAsia="Garamond" w:hAnsi="Garamond" w:cs="Garamond"/>
          <w:sz w:val="21"/>
          <w:szCs w:val="21"/>
        </w:rPr>
        <w:t>November 2021</w:t>
      </w:r>
      <w:r>
        <w:rPr>
          <w:rFonts w:ascii="Garamond" w:eastAsia="Garamond" w:hAnsi="Garamond" w:cs="Garamond"/>
          <w:sz w:val="21"/>
          <w:szCs w:val="21"/>
        </w:rPr>
        <w:t>, accommodation for the duration of the festival and economy airfares to and from the festival (*Terms</w:t>
      </w:r>
      <w:r>
        <w:rPr>
          <w:rFonts w:ascii="Garamond" w:eastAsia="Garamond" w:hAnsi="Garamond" w:cs="Garamond"/>
          <w:sz w:val="21"/>
          <w:szCs w:val="21"/>
        </w:rPr>
        <w:t xml:space="preserve"> and Conditions apply, see below). </w:t>
      </w:r>
    </w:p>
    <w:p w14:paraId="00000006"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 xml:space="preserve">In addition, you will receive fully subsidised conference fees to attend the annual conference of the Australasian Association of Writing Programs (AAWP), where you will be invited to read from your work. The editors at </w:t>
      </w:r>
      <w:r>
        <w:rPr>
          <w:rFonts w:ascii="Garamond" w:eastAsia="Garamond" w:hAnsi="Garamond" w:cs="Garamond"/>
          <w:i/>
          <w:sz w:val="21"/>
          <w:szCs w:val="21"/>
        </w:rPr>
        <w:t xml:space="preserve">Meniscus </w:t>
      </w:r>
      <w:r>
        <w:rPr>
          <w:rFonts w:ascii="Garamond" w:eastAsia="Garamond" w:hAnsi="Garamond" w:cs="Garamond"/>
          <w:sz w:val="21"/>
          <w:szCs w:val="21"/>
        </w:rPr>
        <w:t xml:space="preserve">will consider your work for publication. </w:t>
      </w:r>
    </w:p>
    <w:p w14:paraId="00000007"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Take advantage of this stunning opportunity to celebrate the craft of writing at the Australian Short Story festival. Be welcomed into the thriving community of writers within the AAWP. Enter your short st</w:t>
      </w:r>
      <w:r>
        <w:rPr>
          <w:rFonts w:ascii="Garamond" w:eastAsia="Garamond" w:hAnsi="Garamond" w:cs="Garamond"/>
          <w:sz w:val="21"/>
          <w:szCs w:val="21"/>
        </w:rPr>
        <w:t xml:space="preserve">ory and take advantage of this generous publication pathway and networking opportunity for emerging writers.  </w:t>
      </w:r>
    </w:p>
    <w:p w14:paraId="00000008" w14:textId="77777777" w:rsidR="00C724BE" w:rsidRDefault="0012422A">
      <w:pPr>
        <w:spacing w:after="120"/>
        <w:jc w:val="center"/>
        <w:rPr>
          <w:rFonts w:ascii="Garamond" w:eastAsia="Garamond" w:hAnsi="Garamond" w:cs="Garamond"/>
          <w:b/>
          <w:sz w:val="21"/>
          <w:szCs w:val="21"/>
        </w:rPr>
      </w:pPr>
      <w:r>
        <w:rPr>
          <w:rFonts w:ascii="Garamond" w:eastAsia="Garamond" w:hAnsi="Garamond" w:cs="Garamond"/>
          <w:b/>
          <w:sz w:val="21"/>
          <w:szCs w:val="21"/>
        </w:rPr>
        <w:t>Conditions of Entry</w:t>
      </w:r>
    </w:p>
    <w:p w14:paraId="00000009"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1. This competition is open to emerging writers across Australasia. Emerging writers will not have a full-length, single-auth</w:t>
      </w:r>
      <w:r>
        <w:rPr>
          <w:rFonts w:ascii="Garamond" w:eastAsia="Garamond" w:hAnsi="Garamond" w:cs="Garamond"/>
          <w:sz w:val="21"/>
          <w:szCs w:val="21"/>
        </w:rPr>
        <w:t xml:space="preserve">ored, commercially published, print publication in fiction. Emerging writers who have published in electronic format only, or who have published work in collections showcasing multiple authors, are eligible. </w:t>
      </w:r>
    </w:p>
    <w:p w14:paraId="0000000A" w14:textId="0A6E0E26" w:rsidR="00C724BE" w:rsidRDefault="0012422A">
      <w:pPr>
        <w:spacing w:after="120"/>
        <w:rPr>
          <w:rFonts w:ascii="Garamond" w:eastAsia="Garamond" w:hAnsi="Garamond" w:cs="Garamond"/>
          <w:sz w:val="21"/>
          <w:szCs w:val="21"/>
        </w:rPr>
      </w:pPr>
      <w:r>
        <w:rPr>
          <w:rFonts w:ascii="Garamond" w:eastAsia="Garamond" w:hAnsi="Garamond" w:cs="Garamond"/>
          <w:sz w:val="21"/>
          <w:szCs w:val="21"/>
        </w:rPr>
        <w:t xml:space="preserve">2. The Prize opens on </w:t>
      </w:r>
      <w:r w:rsidR="00FD1215">
        <w:rPr>
          <w:rFonts w:ascii="Garamond" w:eastAsia="Garamond" w:hAnsi="Garamond" w:cs="Garamond"/>
          <w:sz w:val="21"/>
          <w:szCs w:val="21"/>
        </w:rPr>
        <w:t>31 April 2021</w:t>
      </w:r>
      <w:r>
        <w:rPr>
          <w:rFonts w:ascii="Garamond" w:eastAsia="Garamond" w:hAnsi="Garamond" w:cs="Garamond"/>
          <w:sz w:val="21"/>
          <w:szCs w:val="21"/>
        </w:rPr>
        <w:t xml:space="preserve"> and clos</w:t>
      </w:r>
      <w:r>
        <w:rPr>
          <w:rFonts w:ascii="Garamond" w:eastAsia="Garamond" w:hAnsi="Garamond" w:cs="Garamond"/>
          <w:sz w:val="21"/>
          <w:szCs w:val="21"/>
        </w:rPr>
        <w:t>es at midnight on 31 July 202</w:t>
      </w:r>
      <w:r w:rsidR="00FD1215">
        <w:rPr>
          <w:rFonts w:ascii="Garamond" w:eastAsia="Garamond" w:hAnsi="Garamond" w:cs="Garamond"/>
          <w:sz w:val="21"/>
          <w:szCs w:val="21"/>
        </w:rPr>
        <w:t>1</w:t>
      </w:r>
      <w:r>
        <w:rPr>
          <w:rFonts w:ascii="Garamond" w:eastAsia="Garamond" w:hAnsi="Garamond" w:cs="Garamond"/>
          <w:sz w:val="21"/>
          <w:szCs w:val="21"/>
        </w:rPr>
        <w:t>. Late submissions will not be accepted. The winner will be announced on the AAWP website and the ASSF website no later than 30 September 202</w:t>
      </w:r>
      <w:r w:rsidR="00FD1215">
        <w:rPr>
          <w:rFonts w:ascii="Garamond" w:eastAsia="Garamond" w:hAnsi="Garamond" w:cs="Garamond"/>
          <w:sz w:val="21"/>
          <w:szCs w:val="21"/>
        </w:rPr>
        <w:t>1</w:t>
      </w:r>
      <w:r>
        <w:rPr>
          <w:rFonts w:ascii="Garamond" w:eastAsia="Garamond" w:hAnsi="Garamond" w:cs="Garamond"/>
          <w:sz w:val="21"/>
          <w:szCs w:val="21"/>
        </w:rPr>
        <w:t>.</w:t>
      </w:r>
    </w:p>
    <w:p w14:paraId="0000000B"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 xml:space="preserve">3. Entries should not exceed 3000 words. </w:t>
      </w:r>
    </w:p>
    <w:p w14:paraId="0000000C"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4. Entries should address any theme/issu</w:t>
      </w:r>
      <w:r>
        <w:rPr>
          <w:rFonts w:ascii="Garamond" w:eastAsia="Garamond" w:hAnsi="Garamond" w:cs="Garamond"/>
          <w:sz w:val="21"/>
          <w:szCs w:val="21"/>
        </w:rPr>
        <w:t>e relating to Australian life/culture.</w:t>
      </w:r>
    </w:p>
    <w:p w14:paraId="0000000D"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5. The entry should be formatted as follows—line spacing: 1.5, font size: 12-point, font: Times New Roman or Garamond.</w:t>
      </w:r>
    </w:p>
    <w:p w14:paraId="0000000E"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6. The entry should be de-identified. The author’s name, or other identifying characteristics, sho</w:t>
      </w:r>
      <w:r>
        <w:rPr>
          <w:rFonts w:ascii="Garamond" w:eastAsia="Garamond" w:hAnsi="Garamond" w:cs="Garamond"/>
          <w:sz w:val="21"/>
          <w:szCs w:val="21"/>
        </w:rPr>
        <w:t xml:space="preserve">uld not appear on the submission. Judging is blind. </w:t>
      </w:r>
    </w:p>
    <w:p w14:paraId="0000000F"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 xml:space="preserve">7. You may enter as many times as you wish. Subsequent entries incur a separate fee. </w:t>
      </w:r>
    </w:p>
    <w:p w14:paraId="00000010"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8. Any entries that do not follow the rules will be disqualified. If an entry is disqualified no refund will be given</w:t>
      </w:r>
      <w:r>
        <w:rPr>
          <w:rFonts w:ascii="Garamond" w:eastAsia="Garamond" w:hAnsi="Garamond" w:cs="Garamond"/>
          <w:sz w:val="21"/>
          <w:szCs w:val="21"/>
        </w:rPr>
        <w:t xml:space="preserve">. </w:t>
      </w:r>
    </w:p>
    <w:p w14:paraId="00000011"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 xml:space="preserve">9. Entries may not be altered after they have been submitted. </w:t>
      </w:r>
    </w:p>
    <w:p w14:paraId="00000012"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 xml:space="preserve">10. The AAWP/ASSF reserves the right to disqualify any entry that breaches the rules. </w:t>
      </w:r>
    </w:p>
    <w:p w14:paraId="00000013" w14:textId="77777777" w:rsidR="00C724BE" w:rsidRDefault="0012422A">
      <w:pPr>
        <w:spacing w:after="120"/>
        <w:rPr>
          <w:rFonts w:ascii="Garamond" w:eastAsia="Garamond" w:hAnsi="Garamond" w:cs="Garamond"/>
          <w:sz w:val="21"/>
          <w:szCs w:val="21"/>
        </w:rPr>
      </w:pPr>
      <w:bookmarkStart w:id="0" w:name="_heading=h.gjdgxs" w:colFirst="0" w:colLast="0"/>
      <w:bookmarkEnd w:id="0"/>
      <w:r>
        <w:rPr>
          <w:rFonts w:ascii="Garamond" w:eastAsia="Garamond" w:hAnsi="Garamond" w:cs="Garamond"/>
          <w:sz w:val="21"/>
          <w:szCs w:val="21"/>
        </w:rPr>
        <w:t xml:space="preserve">11. The judges’ verdict is final. The judges will not </w:t>
      </w:r>
      <w:proofErr w:type="gramStart"/>
      <w:r>
        <w:rPr>
          <w:rFonts w:ascii="Garamond" w:eastAsia="Garamond" w:hAnsi="Garamond" w:cs="Garamond"/>
          <w:sz w:val="21"/>
          <w:szCs w:val="21"/>
        </w:rPr>
        <w:t>enter into</w:t>
      </w:r>
      <w:proofErr w:type="gramEnd"/>
      <w:r>
        <w:rPr>
          <w:rFonts w:ascii="Garamond" w:eastAsia="Garamond" w:hAnsi="Garamond" w:cs="Garamond"/>
          <w:sz w:val="21"/>
          <w:szCs w:val="21"/>
        </w:rPr>
        <w:t xml:space="preserve"> correspondence or discussion about the</w:t>
      </w:r>
      <w:r>
        <w:rPr>
          <w:rFonts w:ascii="Garamond" w:eastAsia="Garamond" w:hAnsi="Garamond" w:cs="Garamond"/>
          <w:sz w:val="21"/>
          <w:szCs w:val="21"/>
        </w:rPr>
        <w:t xml:space="preserve"> outcome. </w:t>
      </w:r>
    </w:p>
    <w:p w14:paraId="00000014"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 xml:space="preserve">12. The award is for unpublished writing, including online publication. </w:t>
      </w:r>
    </w:p>
    <w:p w14:paraId="00000015" w14:textId="77777777" w:rsidR="00C724BE" w:rsidRDefault="0012422A">
      <w:pPr>
        <w:spacing w:after="120"/>
        <w:jc w:val="center"/>
        <w:rPr>
          <w:rFonts w:ascii="Garamond" w:eastAsia="Garamond" w:hAnsi="Garamond" w:cs="Garamond"/>
          <w:b/>
          <w:sz w:val="21"/>
          <w:szCs w:val="21"/>
        </w:rPr>
      </w:pPr>
      <w:r>
        <w:rPr>
          <w:rFonts w:ascii="Garamond" w:eastAsia="Garamond" w:hAnsi="Garamond" w:cs="Garamond"/>
          <w:b/>
          <w:sz w:val="21"/>
          <w:szCs w:val="21"/>
        </w:rPr>
        <w:t>How to Enter</w:t>
      </w:r>
    </w:p>
    <w:p w14:paraId="00000016"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 xml:space="preserve">Entry is via: </w:t>
      </w:r>
      <w:hyperlink r:id="rId7">
        <w:r>
          <w:rPr>
            <w:rFonts w:ascii="Garamond" w:eastAsia="Garamond" w:hAnsi="Garamond" w:cs="Garamond"/>
            <w:color w:val="0000FF"/>
            <w:sz w:val="21"/>
            <w:szCs w:val="21"/>
            <w:u w:val="single"/>
          </w:rPr>
          <w:t>https://meniscuslitera</w:t>
        </w:r>
        <w:r>
          <w:rPr>
            <w:rFonts w:ascii="Garamond" w:eastAsia="Garamond" w:hAnsi="Garamond" w:cs="Garamond"/>
            <w:color w:val="0000FF"/>
            <w:sz w:val="21"/>
            <w:szCs w:val="21"/>
            <w:u w:val="single"/>
          </w:rPr>
          <w:t>ryjournal.submittable.com/submit</w:t>
        </w:r>
      </w:hyperlink>
    </w:p>
    <w:p w14:paraId="00000017"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 xml:space="preserve">Please go to </w:t>
      </w:r>
      <w:hyperlink r:id="rId8">
        <w:r>
          <w:rPr>
            <w:rFonts w:ascii="Garamond" w:eastAsia="Garamond" w:hAnsi="Garamond" w:cs="Garamond"/>
            <w:color w:val="0000FF"/>
            <w:sz w:val="21"/>
            <w:szCs w:val="21"/>
            <w:u w:val="single"/>
          </w:rPr>
          <w:t>www.aawp.org.au</w:t>
        </w:r>
      </w:hyperlink>
      <w:r>
        <w:rPr>
          <w:rFonts w:ascii="Garamond" w:eastAsia="Garamond" w:hAnsi="Garamond" w:cs="Garamond"/>
          <w:sz w:val="21"/>
          <w:szCs w:val="21"/>
        </w:rPr>
        <w:t xml:space="preserve"> for further information: available under News (Opportunities) or Journals (Meniscus).</w:t>
      </w:r>
    </w:p>
    <w:p w14:paraId="00000018"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The entry fee is $20.00.</w:t>
      </w:r>
    </w:p>
    <w:p w14:paraId="00000019" w14:textId="77777777" w:rsidR="00C724BE" w:rsidRDefault="00C724BE">
      <w:pPr>
        <w:spacing w:after="120"/>
        <w:rPr>
          <w:rFonts w:ascii="Garamond" w:eastAsia="Garamond" w:hAnsi="Garamond" w:cs="Garamond"/>
          <w:sz w:val="21"/>
          <w:szCs w:val="21"/>
        </w:rPr>
      </w:pPr>
      <w:bookmarkStart w:id="1" w:name="_heading=h.30j0zll" w:colFirst="0" w:colLast="0"/>
      <w:bookmarkEnd w:id="1"/>
    </w:p>
    <w:p w14:paraId="0000001A"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*Terms and Conditions:</w:t>
      </w:r>
    </w:p>
    <w:p w14:paraId="0000001B" w14:textId="77777777" w:rsidR="00C724BE" w:rsidRDefault="0012422A">
      <w:pPr>
        <w:spacing w:after="120"/>
        <w:rPr>
          <w:rFonts w:ascii="Garamond" w:eastAsia="Garamond" w:hAnsi="Garamond" w:cs="Garamond"/>
          <w:sz w:val="21"/>
          <w:szCs w:val="21"/>
        </w:rPr>
      </w:pPr>
      <w:bookmarkStart w:id="2" w:name="_heading=h.1fob9te" w:colFirst="0" w:colLast="0"/>
      <w:bookmarkEnd w:id="2"/>
      <w:r>
        <w:rPr>
          <w:rFonts w:ascii="Garamond" w:eastAsia="Garamond" w:hAnsi="Garamond" w:cs="Garamond"/>
          <w:sz w:val="21"/>
          <w:szCs w:val="21"/>
        </w:rPr>
        <w:lastRenderedPageBreak/>
        <w:t>1. Copyright in the submitted work remains with the entrant. The AAWP will not reproduce any entries without the express</w:t>
      </w:r>
      <w:r>
        <w:rPr>
          <w:rFonts w:ascii="Garamond" w:eastAsia="Garamond" w:hAnsi="Garamond" w:cs="Garamond"/>
          <w:sz w:val="21"/>
          <w:szCs w:val="21"/>
        </w:rPr>
        <w:t xml:space="preserve"> permission of the entrant. If needed, a copyright licence can be negotiated after the Prize has been awarded. </w:t>
      </w:r>
    </w:p>
    <w:p w14:paraId="0000001C" w14:textId="77777777" w:rsidR="00C724BE" w:rsidRDefault="0012422A">
      <w:pPr>
        <w:spacing w:after="120"/>
        <w:rPr>
          <w:rFonts w:ascii="Garamond" w:eastAsia="Garamond" w:hAnsi="Garamond" w:cs="Garamond"/>
          <w:color w:val="000000"/>
          <w:sz w:val="21"/>
          <w:szCs w:val="21"/>
        </w:rPr>
      </w:pPr>
      <w:r>
        <w:rPr>
          <w:rFonts w:ascii="Garamond" w:eastAsia="Garamond" w:hAnsi="Garamond" w:cs="Garamond"/>
          <w:sz w:val="21"/>
          <w:szCs w:val="21"/>
        </w:rPr>
        <w:t xml:space="preserve">2. </w:t>
      </w:r>
      <w:r>
        <w:rPr>
          <w:rFonts w:ascii="Garamond" w:eastAsia="Garamond" w:hAnsi="Garamond" w:cs="Garamond"/>
          <w:color w:val="000000"/>
          <w:sz w:val="21"/>
          <w:szCs w:val="21"/>
        </w:rPr>
        <w:t>The overall winner is entitled to a one-year membership of the AAWP. Entrants are not required to hold an existing membership, but if they are successful then their current membership will be extended by one year.</w:t>
      </w:r>
    </w:p>
    <w:p w14:paraId="0000001D" w14:textId="6F5C146D" w:rsidR="00C724BE" w:rsidRDefault="0012422A">
      <w:pPr>
        <w:spacing w:after="120"/>
        <w:rPr>
          <w:rFonts w:ascii="Garamond" w:eastAsia="Garamond" w:hAnsi="Garamond" w:cs="Garamond"/>
          <w:sz w:val="21"/>
          <w:szCs w:val="21"/>
        </w:rPr>
      </w:pPr>
      <w:bookmarkStart w:id="3" w:name="_heading=h.3znysh7" w:colFirst="0" w:colLast="0"/>
      <w:bookmarkEnd w:id="3"/>
      <w:r>
        <w:rPr>
          <w:rFonts w:ascii="Garamond" w:eastAsia="Garamond" w:hAnsi="Garamond" w:cs="Garamond"/>
          <w:color w:val="000000"/>
          <w:sz w:val="21"/>
          <w:szCs w:val="21"/>
        </w:rPr>
        <w:t>3. The overall winner will receive one tic</w:t>
      </w:r>
      <w:r>
        <w:rPr>
          <w:rFonts w:ascii="Garamond" w:eastAsia="Garamond" w:hAnsi="Garamond" w:cs="Garamond"/>
          <w:color w:val="000000"/>
          <w:sz w:val="21"/>
          <w:szCs w:val="21"/>
        </w:rPr>
        <w:t>ket to the ASSF</w:t>
      </w:r>
      <w:r>
        <w:rPr>
          <w:rFonts w:ascii="Garamond" w:eastAsia="Garamond" w:hAnsi="Garamond" w:cs="Garamond"/>
          <w:sz w:val="21"/>
          <w:szCs w:val="21"/>
        </w:rPr>
        <w:t xml:space="preserve">. </w:t>
      </w:r>
      <w:r w:rsidR="00FD1215">
        <w:rPr>
          <w:rFonts w:ascii="Garamond" w:eastAsia="Garamond" w:hAnsi="Garamond" w:cs="Garamond"/>
          <w:sz w:val="21"/>
          <w:szCs w:val="21"/>
        </w:rPr>
        <w:t>If 2021’s festival is cancelled or held digitally due to the Covid-19 pandemic</w:t>
      </w:r>
      <w:r>
        <w:rPr>
          <w:rFonts w:ascii="Garamond" w:eastAsia="Garamond" w:hAnsi="Garamond" w:cs="Garamond"/>
          <w:sz w:val="21"/>
          <w:szCs w:val="21"/>
        </w:rPr>
        <w:t>, this will carry over to 202</w:t>
      </w:r>
      <w:r w:rsidR="00FD1215">
        <w:rPr>
          <w:rFonts w:ascii="Garamond" w:eastAsia="Garamond" w:hAnsi="Garamond" w:cs="Garamond"/>
          <w:sz w:val="21"/>
          <w:szCs w:val="21"/>
        </w:rPr>
        <w:t>2</w:t>
      </w:r>
      <w:r>
        <w:rPr>
          <w:rFonts w:ascii="Garamond" w:eastAsia="Garamond" w:hAnsi="Garamond" w:cs="Garamond"/>
          <w:sz w:val="21"/>
          <w:szCs w:val="21"/>
        </w:rPr>
        <w:t>.</w:t>
      </w:r>
      <w:r>
        <w:rPr>
          <w:rFonts w:ascii="Garamond" w:eastAsia="Garamond" w:hAnsi="Garamond" w:cs="Garamond"/>
          <w:color w:val="000000"/>
          <w:sz w:val="21"/>
          <w:szCs w:val="21"/>
        </w:rPr>
        <w:t xml:space="preserve"> </w:t>
      </w:r>
    </w:p>
    <w:p w14:paraId="0000001E" w14:textId="77777777" w:rsidR="00C724BE" w:rsidRDefault="0012422A">
      <w:pPr>
        <w:spacing w:after="120"/>
        <w:rPr>
          <w:rFonts w:ascii="Garamond" w:eastAsia="Garamond" w:hAnsi="Garamond" w:cs="Garamond"/>
          <w:sz w:val="21"/>
          <w:szCs w:val="21"/>
        </w:rPr>
      </w:pPr>
      <w:bookmarkStart w:id="4" w:name="_heading=h.2et92p0" w:colFirst="0" w:colLast="0"/>
      <w:bookmarkEnd w:id="4"/>
      <w:r>
        <w:rPr>
          <w:rFonts w:ascii="Garamond" w:eastAsia="Garamond" w:hAnsi="Garamond" w:cs="Garamond"/>
          <w:sz w:val="21"/>
          <w:szCs w:val="21"/>
        </w:rPr>
        <w:t>4. Economy airfares for the winner to attend the ASSF will be covered up to $200.00 for domestic travel within Australia. Airfares must be approved by the AAWP</w:t>
      </w:r>
      <w:r>
        <w:rPr>
          <w:rFonts w:ascii="Garamond" w:eastAsia="Garamond" w:hAnsi="Garamond" w:cs="Garamond"/>
          <w:sz w:val="21"/>
          <w:szCs w:val="21"/>
        </w:rPr>
        <w:t xml:space="preserve"> prior to booking and must be booked at least one month before departure. When travel is approved, funds will be paid to the winner via bank transfer. Costs associated with alterations to flights are the responsibility of the winner. </w:t>
      </w:r>
    </w:p>
    <w:p w14:paraId="0000001F" w14:textId="77777777" w:rsidR="00C724BE" w:rsidRDefault="0012422A">
      <w:pPr>
        <w:spacing w:after="120"/>
        <w:rPr>
          <w:rFonts w:ascii="Garamond" w:eastAsia="Garamond" w:hAnsi="Garamond" w:cs="Garamond"/>
          <w:sz w:val="21"/>
          <w:szCs w:val="21"/>
        </w:rPr>
      </w:pPr>
      <w:r>
        <w:rPr>
          <w:rFonts w:ascii="Garamond" w:eastAsia="Garamond" w:hAnsi="Garamond" w:cs="Garamond"/>
          <w:sz w:val="21"/>
          <w:szCs w:val="21"/>
        </w:rPr>
        <w:t>5. Accommodation is p</w:t>
      </w:r>
      <w:r>
        <w:rPr>
          <w:rFonts w:ascii="Garamond" w:eastAsia="Garamond" w:hAnsi="Garamond" w:cs="Garamond"/>
          <w:sz w:val="21"/>
          <w:szCs w:val="21"/>
        </w:rPr>
        <w:t>rovided for the winner for the duration of the ASSF (up to $500.00). Accommodation is arranged by AAWP in consultation with the festival management team. Funds will be paid to the winner via bank transfer when accommodation has been finalised. Costs associ</w:t>
      </w:r>
      <w:r>
        <w:rPr>
          <w:rFonts w:ascii="Garamond" w:eastAsia="Garamond" w:hAnsi="Garamond" w:cs="Garamond"/>
          <w:sz w:val="21"/>
          <w:szCs w:val="21"/>
        </w:rPr>
        <w:t>ated with alterations to bookings are the responsibility of the winner.</w:t>
      </w:r>
    </w:p>
    <w:p w14:paraId="00000020" w14:textId="77777777" w:rsidR="00C724BE" w:rsidRDefault="0012422A">
      <w:pPr>
        <w:spacing w:after="120"/>
        <w:rPr>
          <w:rFonts w:ascii="Garamond" w:eastAsia="Garamond" w:hAnsi="Garamond" w:cs="Garamond"/>
          <w:sz w:val="21"/>
          <w:szCs w:val="21"/>
        </w:rPr>
      </w:pPr>
      <w:bookmarkStart w:id="5" w:name="_heading=h.tyjcwt" w:colFirst="0" w:colLast="0"/>
      <w:bookmarkEnd w:id="5"/>
      <w:r>
        <w:rPr>
          <w:rFonts w:ascii="Garamond" w:eastAsia="Garamond" w:hAnsi="Garamond" w:cs="Garamond"/>
          <w:sz w:val="21"/>
          <w:szCs w:val="21"/>
        </w:rPr>
        <w:t xml:space="preserve">6. AAWP conference fees (negotiated annually) are provided for the winner. This includes conference attendance (and all the benefits that entails). Extra fees (i.e. for the conference </w:t>
      </w:r>
      <w:r>
        <w:rPr>
          <w:rFonts w:ascii="Garamond" w:eastAsia="Garamond" w:hAnsi="Garamond" w:cs="Garamond"/>
          <w:sz w:val="21"/>
          <w:szCs w:val="21"/>
        </w:rPr>
        <w:t>dinner, or for special activities such as workshops or tours) are the responsibility of the winner.</w:t>
      </w:r>
    </w:p>
    <w:p w14:paraId="00000021" w14:textId="77777777" w:rsidR="00C724BE" w:rsidRDefault="0012422A">
      <w:pPr>
        <w:spacing w:after="120"/>
        <w:rPr>
          <w:rFonts w:ascii="Garamond" w:eastAsia="Garamond" w:hAnsi="Garamond" w:cs="Garamond"/>
          <w:sz w:val="21"/>
          <w:szCs w:val="21"/>
        </w:rPr>
      </w:pPr>
      <w:bookmarkStart w:id="6" w:name="_heading=h.3dy6vkm" w:colFirst="0" w:colLast="0"/>
      <w:bookmarkEnd w:id="6"/>
      <w:r>
        <w:rPr>
          <w:rFonts w:ascii="Garamond" w:eastAsia="Garamond" w:hAnsi="Garamond" w:cs="Garamond"/>
          <w:sz w:val="21"/>
          <w:szCs w:val="21"/>
        </w:rPr>
        <w:t xml:space="preserve">7. Publication in </w:t>
      </w:r>
      <w:r>
        <w:rPr>
          <w:rFonts w:ascii="Garamond" w:eastAsia="Garamond" w:hAnsi="Garamond" w:cs="Garamond"/>
          <w:i/>
          <w:sz w:val="21"/>
          <w:szCs w:val="21"/>
        </w:rPr>
        <w:t xml:space="preserve">Meniscus </w:t>
      </w:r>
      <w:r>
        <w:rPr>
          <w:rFonts w:ascii="Garamond" w:eastAsia="Garamond" w:hAnsi="Garamond" w:cs="Garamond"/>
          <w:sz w:val="21"/>
          <w:szCs w:val="21"/>
        </w:rPr>
        <w:t>is not guaranteed.</w:t>
      </w:r>
    </w:p>
    <w:p w14:paraId="00000022" w14:textId="77777777" w:rsidR="00C724BE" w:rsidRDefault="00C724BE">
      <w:pPr>
        <w:spacing w:after="120"/>
        <w:rPr>
          <w:rFonts w:ascii="Garamond" w:eastAsia="Garamond" w:hAnsi="Garamond" w:cs="Garamond"/>
          <w:sz w:val="21"/>
          <w:szCs w:val="21"/>
        </w:rPr>
      </w:pPr>
      <w:bookmarkStart w:id="7" w:name="_GoBack"/>
      <w:bookmarkEnd w:id="7"/>
    </w:p>
    <w:sectPr w:rsidR="00C724BE">
      <w:head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C1887" w14:textId="77777777" w:rsidR="0012422A" w:rsidRDefault="0012422A">
      <w:r>
        <w:separator/>
      </w:r>
    </w:p>
  </w:endnote>
  <w:endnote w:type="continuationSeparator" w:id="0">
    <w:p w14:paraId="1C09E8DC" w14:textId="77777777" w:rsidR="0012422A" w:rsidRDefault="0012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283C" w14:textId="77777777" w:rsidR="0012422A" w:rsidRDefault="0012422A">
      <w:r>
        <w:separator/>
      </w:r>
    </w:p>
  </w:footnote>
  <w:footnote w:type="continuationSeparator" w:id="0">
    <w:p w14:paraId="1EDACF3A" w14:textId="77777777" w:rsidR="0012422A" w:rsidRDefault="0012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5157AD0D" w:rsidR="00C724BE" w:rsidRDefault="0012422A">
    <w:pPr>
      <w:jc w:val="center"/>
    </w:pPr>
    <w:r>
      <w:rPr>
        <w:rFonts w:ascii="Garamond" w:eastAsia="Garamond" w:hAnsi="Garamond" w:cs="Garamond"/>
        <w:b/>
      </w:rPr>
      <w:t>Australasian Association of Writing Programs (AAWP)—Australian Short Story Festival (ASSF) S</w:t>
    </w:r>
    <w:r>
      <w:rPr>
        <w:rFonts w:ascii="Garamond" w:eastAsia="Garamond" w:hAnsi="Garamond" w:cs="Garamond"/>
        <w:b/>
      </w:rPr>
      <w:t>hort Story Prize 202</w:t>
    </w:r>
    <w:r w:rsidR="00FD1215">
      <w:rPr>
        <w:rFonts w:ascii="Garamond" w:eastAsia="Garamond" w:hAnsi="Garamond" w:cs="Garamond"/>
        <w: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BE"/>
    <w:rsid w:val="0012422A"/>
    <w:rsid w:val="00C724BE"/>
    <w:rsid w:val="00FD1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564E"/>
  <w15:docId w15:val="{412B035B-C242-4E06-B6D9-4B2610B2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 w:type="paragraph" w:styleId="BalloonText">
    <w:name w:val="Balloon Text"/>
    <w:basedOn w:val="Normal"/>
    <w:link w:val="BalloonTextChar"/>
    <w:uiPriority w:val="99"/>
    <w:semiHidden/>
    <w:unhideWhenUsed/>
    <w:rsid w:val="00CE6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E72"/>
    <w:rPr>
      <w:rFonts w:ascii="Segoe UI" w:hAnsi="Segoe UI" w:cs="Segoe UI"/>
      <w:sz w:val="18"/>
      <w:szCs w:val="18"/>
    </w:rPr>
  </w:style>
  <w:style w:type="character" w:styleId="CommentReference">
    <w:name w:val="annotation reference"/>
    <w:basedOn w:val="DefaultParagraphFont"/>
    <w:uiPriority w:val="99"/>
    <w:semiHidden/>
    <w:unhideWhenUsed/>
    <w:rsid w:val="00FE0F8A"/>
    <w:rPr>
      <w:sz w:val="16"/>
      <w:szCs w:val="16"/>
    </w:rPr>
  </w:style>
  <w:style w:type="paragraph" w:styleId="CommentText">
    <w:name w:val="annotation text"/>
    <w:basedOn w:val="Normal"/>
    <w:link w:val="CommentTextChar"/>
    <w:uiPriority w:val="99"/>
    <w:semiHidden/>
    <w:unhideWhenUsed/>
    <w:rsid w:val="00FE0F8A"/>
    <w:rPr>
      <w:sz w:val="20"/>
      <w:szCs w:val="20"/>
    </w:rPr>
  </w:style>
  <w:style w:type="character" w:customStyle="1" w:styleId="CommentTextChar">
    <w:name w:val="Comment Text Char"/>
    <w:basedOn w:val="DefaultParagraphFont"/>
    <w:link w:val="CommentText"/>
    <w:uiPriority w:val="99"/>
    <w:semiHidden/>
    <w:rsid w:val="00FE0F8A"/>
  </w:style>
  <w:style w:type="paragraph" w:styleId="CommentSubject">
    <w:name w:val="annotation subject"/>
    <w:basedOn w:val="CommentText"/>
    <w:next w:val="CommentText"/>
    <w:link w:val="CommentSubjectChar"/>
    <w:uiPriority w:val="99"/>
    <w:semiHidden/>
    <w:unhideWhenUsed/>
    <w:rsid w:val="00FE0F8A"/>
    <w:rPr>
      <w:b/>
      <w:bCs/>
    </w:rPr>
  </w:style>
  <w:style w:type="character" w:customStyle="1" w:styleId="CommentSubjectChar">
    <w:name w:val="Comment Subject Char"/>
    <w:basedOn w:val="CommentTextChar"/>
    <w:link w:val="CommentSubject"/>
    <w:uiPriority w:val="99"/>
    <w:semiHidden/>
    <w:rsid w:val="00FE0F8A"/>
    <w:rPr>
      <w:b/>
      <w:bCs/>
    </w:rPr>
  </w:style>
  <w:style w:type="character" w:styleId="UnresolvedMention">
    <w:name w:val="Unresolved Mention"/>
    <w:basedOn w:val="DefaultParagraphFont"/>
    <w:uiPriority w:val="99"/>
    <w:semiHidden/>
    <w:unhideWhenUsed/>
    <w:rsid w:val="00DB471E"/>
    <w:rPr>
      <w:color w:val="605E5C"/>
      <w:shd w:val="clear" w:color="auto" w:fill="E1DFDD"/>
    </w:rPr>
  </w:style>
  <w:style w:type="paragraph" w:styleId="Revision">
    <w:name w:val="Revision"/>
    <w:hidden/>
    <w:uiPriority w:val="99"/>
    <w:semiHidden/>
    <w:rsid w:val="003569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awp.org.au" TargetMode="External"/><Relationship Id="rId3" Type="http://schemas.openxmlformats.org/officeDocument/2006/relationships/settings" Target="settings.xml"/><Relationship Id="rId7" Type="http://schemas.openxmlformats.org/officeDocument/2006/relationships/hyperlink" Target="https://protect-au.mimecast.com/s/AiAaC3Q8BQtWKqgycgCb7I?domain=meniscusliteraryjournal.submittabl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hYHCHFYTNMs9GKFf7+DiyVOxpg==">AMUW2mUK0k4vRFGKuyjEw7v8X2jXpLD/Gj0mFCkIPVQVmoOgKGIR4xw/+yomK0oHmkS8gndA36FVX4yRYRWBrYAXrbn9s/1dpSuv/BbERpHXyxIKYDWzRrD8ryM5kD+lQXuzgNEirQqSWJAjOdY+iDA4MoBJrppPDeUuStaiVBMKpCQXd/TnkiH84aK/3BbMbQG/VswvA3pBodNadeHMVm055X4VDzk8ng==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PRENDERGAST</dc:creator>
  <cp:lastModifiedBy>Daniel Juckes</cp:lastModifiedBy>
  <cp:revision>2</cp:revision>
  <dcterms:created xsi:type="dcterms:W3CDTF">2021-04-13T00:18:00Z</dcterms:created>
  <dcterms:modified xsi:type="dcterms:W3CDTF">2021-04-13T00:18:00Z</dcterms:modified>
</cp:coreProperties>
</file>